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632" w:type="dxa"/>
        <w:jc w:val="left"/>
        <w:tblInd w:w="-1003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3"/>
        <w:gridCol w:w="1449"/>
        <w:gridCol w:w="703"/>
        <w:gridCol w:w="285"/>
        <w:gridCol w:w="1699"/>
        <w:gridCol w:w="1"/>
        <w:gridCol w:w="3691"/>
      </w:tblGrid>
      <w:tr>
        <w:trPr>
          <w:trHeight w:val="1380" w:hRule="atLeast"/>
        </w:trPr>
        <w:tc>
          <w:tcPr>
            <w:tcW w:w="425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Autospacing="0" w:before="280" w:afterAutospacing="0" w:after="2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val="ru-RU" w:eastAsia="ru-RU"/>
              </w:rPr>
              <w:t>Государственное автономное учреждение здравоохранения Свердловской области  «Тугулымская  центральная   районная  больница»</w:t>
            </w:r>
          </w:p>
        </w:tc>
        <w:tc>
          <w:tcPr>
            <w:tcW w:w="6379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280" w:after="2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СТАНДАРТНАЯ ОПЕРАЦИОННАЯ ПРОЦЕДУРА</w:t>
            </w:r>
          </w:p>
        </w:tc>
      </w:tr>
      <w:tr>
        <w:trPr/>
        <w:tc>
          <w:tcPr>
            <w:tcW w:w="6940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 xml:space="preserve">Название: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Меры по выявлению и ведению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старческой астении и других гериатрических синдромов у пациентов пожилого и старческого возраста  при оказании первичной медико-санитарной помощи</w:t>
            </w:r>
          </w:p>
        </w:tc>
        <w:tc>
          <w:tcPr>
            <w:tcW w:w="36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Подразделение: Амбулаторно-поликлиническое</w:t>
            </w:r>
          </w:p>
        </w:tc>
      </w:tr>
      <w:tr>
        <w:trPr/>
        <w:tc>
          <w:tcPr>
            <w:tcW w:w="28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Действует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 «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июня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215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Вводится впервые</w:t>
            </w:r>
          </w:p>
        </w:tc>
        <w:tc>
          <w:tcPr>
            <w:tcW w:w="198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69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Дата следующего пересмотра: 2027 г</w:t>
            </w:r>
          </w:p>
        </w:tc>
      </w:tr>
      <w:tr>
        <w:trPr>
          <w:trHeight w:val="3450" w:hRule="atLeast"/>
        </w:trPr>
        <w:tc>
          <w:tcPr>
            <w:tcW w:w="5240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Составил: 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Врач-гериатр Шинкоренко И.Н.</w:t>
            </w:r>
          </w:p>
          <w:p>
            <w:pPr>
              <w:pStyle w:val="Normal"/>
              <w:widowControl w:val="false"/>
              <w:spacing w:before="280" w:after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39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Autospacing="0" w:before="280" w:afterAutospacing="0" w:after="2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Утвердил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Главный врач 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ГАУЗ СО «Тугулымская ЦРБ»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_________________ С.А.Гультяев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beforeAutospacing="0" w:before="280" w:afterAutospacing="0" w:after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«______» _______________ 202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before="280" w:after="28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</w:tc>
      </w:tr>
    </w:tbl>
    <w:p>
      <w:pPr>
        <w:pStyle w:val="Normal"/>
        <w:spacing w:before="0" w:afterAutospacing="0" w:after="0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2"/>
          <w:szCs w:val="22"/>
          <w:lang w:val="ru-RU"/>
        </w:rPr>
        <w:t>Цели и сфера применения.</w:t>
      </w:r>
    </w:p>
    <w:p>
      <w:pPr>
        <w:pStyle w:val="Normal"/>
        <w:spacing w:before="0" w:afterAutospacing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Настоящая СОП создана с целью - предоставить врачам первичного звена здравоохранения  базовые знания по вопросам профилактики, диагностики и ведения старческой астении, во взаимодействии с врачом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 </w:t>
      </w:r>
      <w:r>
        <w:rPr>
          <w:rFonts w:cs="Calibri" w:ascii="Times New Roman" w:hAnsi="Times New Roman"/>
          <w:sz w:val="22"/>
          <w:szCs w:val="22"/>
          <w:lang w:val="ru-RU"/>
        </w:rPr>
        <w:t>гериатром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2. Нормативные документы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Приказ Министерства здравоохранений Свердловской области от  10.03.2025 г №505-п №Об утверждении Плана мероприятий по снижению смертности граждан пожилого и старческого возраста в Свердловской области а 2025-2027 г»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Методические рекомендации по выявлению и ведению старческой астении и других гериатрических синдромов у пациентов пожилого и старческого возраста при оказании первичной медико-санитарной помощи от 28.05.2025 г.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Клинические рекомендации «Старческая астения», 2024 г. 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 </w:t>
      </w:r>
      <w:r>
        <w:rPr>
          <w:rFonts w:cs="Times New Roman" w:ascii="Times New Roman" w:hAnsi="Times New Roman"/>
          <w:sz w:val="22"/>
          <w:szCs w:val="22"/>
          <w:lang w:val="ru-RU"/>
        </w:rPr>
        <w:t>АЛГОРИТМ ДИАГНОСТИКИ И ВЕДЕНИЯ СТАРЧЕСКОЙ АСТЕНИИ В ПЕРВИЧНОМ ЗВЕНЕ ЗДРАВООХРАНЕНИЯ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Symbol" w:cs="Symbol" w:ascii="Times New Roman" w:hAnsi="Times New Roman"/>
          <w:sz w:val="22"/>
          <w:szCs w:val="22"/>
        </w:rPr>
        <w:t>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Скрининг СА (старческой астении) с использованием шкалы «Возраст не помеха» проводится у всех пациентов 60 лет и старше при обращении к врачу терапевту/врачу общей практики. Кроме того, скрининг СА проводится при анкетировании в рамках ПМО/ДОГВН. 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Symbol" w:cs="Symbol" w:ascii="Times New Roman" w:hAnsi="Times New Roman"/>
          <w:sz w:val="22"/>
          <w:szCs w:val="22"/>
        </w:rPr>
        <w:t>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Скрининг СА проводится 1 раз год. </w:t>
      </w:r>
    </w:p>
    <w:p>
      <w:pPr>
        <w:pStyle w:val="Normal"/>
        <w:spacing w:before="0" w:after="0"/>
        <w:rPr/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Пациент с результатом скрининга по опроснику «Возраст не помеха» 5-7 баллов маршрутизируется к врачу-гериатру для выполнения комплексной гериатрической оценки с целью диагностики СА и разработки индивидуального плана ведения пациента. Врач-терапевт/врач общей практики (семейный врач) выполняет индивидуальный план лечения пациентов со старческой астенией с учетом рекомендаций врача-гериатра и выявленных гериатрических синдромов.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t>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Врач-терапевт/врач общей практики (семейный врач) наблюдает пациентов со старческой астенией, включая осмотр пациента на дому (не реже 1 посещения в 3 месяца для медицинской сестры участковой и 1 посещения в 6 месяцев для врача); при необходимости организует консультацию врача-гериатра на дому. </w:t>
      </w:r>
    </w:p>
    <w:p>
      <w:pPr>
        <w:pStyle w:val="Normal"/>
        <w:spacing w:before="0" w:after="0"/>
        <w:rPr/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Ведение пациента с СА основано на принципах мультидисциплинарной команды, включающей врача-терапевта/врача общей практики (семейного врача), врача-гериатра и других специалистов в зависимости от выявленных гериатрических синдромов и заболеваний.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t>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Развитие СА требует адаптации терапевтических стратегий и целевых уровней АД, ХСЛНП, гликированного гемоглобина, индекса массы тела.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t>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>Опросник «Возраст не помеха» позволяет выявить гериатрические синдромы, для коррекции которых пациент может быть маршрутизирован к соответствующим врачам специалистам, в том числе в рамках второго этапа диспансеризации.</w:t>
      </w:r>
    </w:p>
    <w:p>
      <w:pPr>
        <w:pStyle w:val="NormalWeb"/>
        <w:jc w:val="center"/>
        <w:rPr/>
      </w:pPr>
      <w:r>
        <w:rPr/>
        <w:drawing>
          <wp:inline distT="0" distB="0" distL="0" distR="0">
            <wp:extent cx="3773805" cy="3002280"/>
            <wp:effectExtent l="0" t="0" r="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2" w:after="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ДЕЙСТВИЯ ВРАЧА-ТЕРАПЕВТА/ВРАЧА ОБЩЕЙ ПРАКТИКИ (СЕМЕЙНОГО ВРАЧА)</w:t>
      </w:r>
    </w:p>
    <w:p>
      <w:pPr>
        <w:pStyle w:val="Normal"/>
        <w:spacing w:before="52" w:after="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ПРИ ВЫЯВЛЕНИИ ГЕРИАТРИЧЕСКИХ СИНДРОМОВ ПО ДАННЫМ ОПРОСНИКА</w:t>
      </w:r>
    </w:p>
    <w:p>
      <w:pPr>
        <w:pStyle w:val="Normal"/>
        <w:spacing w:before="52" w:after="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«ВОЗРАСТ НЕ ПОМЕХА»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Ответ ДА на вопрос шкалы «Возраст не помеха»: «Похудели ли Вы на 5 кг и более за последние  6 месяцев?»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Вероятные гериатрические синдромы: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 синдром снижения массы тела вследствие недостаточности питания,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саркопения,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-социальная изоляция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-вероятная депрессия (особенно при положительном ответе на вопрос «Чувствуете ли Вы себя подавленным, грустным или встревоженным на протяжении последних недель?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Причины: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Медицинские: отсутствие аппетита, изменения вкусового и обонятельного  рецепторных  аппаратов, побочные эффекты лекарственных препаратов, предшествующее назначение  низкокалорийной диеты, проблемы с жеванием, адентия, неадекватные протезы, заболевания  полости рта, дисфагия, снижение физической активности, нарушения функционирования верхних конечностей, ограниченная мобильность, онкологические заболевания, острые и хронические заболевания/травмы, болевой синдром, снижение инструментальной  активности и др.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Психоэмоциональные: депрессия, нарушение когнитивных функций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Социальные: низкий уровень дохода, социальная изоляция, соблюдение религиозного поста.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При анализе причин снижения массы тела учесть вероятность онкологического заболевания.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Что делать?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Анализ вероятных причин для определения показаний для консультации врача-эндокринолога, врача-диетолога, врача-гастроэнтеролога, врача-онколога, врача-гериатра,  врача-стоматолога.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Коррекция выявленных причин, например, зубопротезирование.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Рекомендации по рациональному питанию в пожилом возрасте: энергетическая  ценность рациона питания для лиц старше 65 лет должна составлять 1600 ккал/сут. для  женщин и 1800 ккал/сут. для мужчин. Режим питания должен обязательно включать три  основных приема пищи (завтрак, обед и ужин), которые могут быть дополнены двумя  дополнительными (с учетом заболеваний или режима дня). Общий водный режим  оставляет  не менее 1,5 л (с учетом блюд и продуктов рациона), при этом на питьевой режим в чистом  виде должно приходиться не менее 800 мл. Потребность в белке у пожилого человека выше,  чем у людей молодого и среднего возраста и составляет 1-1,2 г/кг/сут. с пропорцией 1:1  между животными и растительными белками.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Анализ лекарственных назначений на предмет нежелательных эффектов лекарственных  препаратов, влияния лекарственных препаратов на аппетит и усвоение питательных веществ.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Направить к врачу гериатру при подозрении на наличие недостаточности питания  (снижение массы тела &gt;5% в течение предшествующих 6 мес. или &gt;10% за период более 6  месяцев и/или индекс массы тела &lt;20 кг/м2 если пациент младше 70 лет/ &lt;22 кг/м2. если  пациент старше 70 лет (Для лиц азиатской расы: &lt;18.5 кг/м2 если пациент младше 70 лет/&lt;20  кг/м2, если пациент старше 70 лет) для дальнейшей диагностики недостаточности питания и  решения вопроса о назначении нутритивной поддержки (сипингов).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Направление информации в социальные службы при необходимости помощи в  приобретении продуктов питания.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Ответ ДА на вопрос шкалы «Возраст не помеха»: «Испытываете ли Вы какие-либо  ограничения в повседневной жизни из-за снижения зрения или слуха?»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Вероятные гериатрические синдромы: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снижение зрения,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снижение слуха.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Маршрутизация: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-врач-офтальмолог, - врач-оториноларинголог (сурдолог)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Ответ ДА на вопрос шкалы «Возраст не помеха»: «Чувствуете ли Вы себя  подавленным,  грустным или встревоженным на протяжении последних недель?»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Вероятные гериатрические синдромы: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депрессия,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тревога.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Что делать?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-Анализ лекарственных назначений на предмет нежелательных явлений лекарственных препаратов.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Маршрутизация: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врач-невролог или врач-гериатр,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врач-психиатр (по показаниям).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Ответ ДА на вопрос шкалы «Возраст не помеха»: «Испытываете ли Вы трудности при  перемещении по дому или на улице (ходьба до 100 метров или подъем на 1 лестничный  пролет)?»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Вероятный гериатрический синдром: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снижение мобильности,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возможное проявление начала утраты автономности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Причины:  многофакторный гериатрический синдром, потенциально связанный с хроническими  неинфекционными заболеваниями (заболевания костно-мышечной системы, заболевания  сердечно-сосудистой системы, заболевания нервной системы, перенесенный инсульт, и др.),  полиморбидностью, саркопенией, хроническим болевым синдромом, когнитивными  нарушениями, сенсорными дефицитами.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Что делать?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-Анализ тяжести качеств контроля имеющихся заболеваний, при необходимости – коррекция их лечения.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Оценка потребности о вспомогательных средствах,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оценка потребности в социальной помощи.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Коррекция других выявленных гериатрических синдромов (во взаимодействии с врачом  гериатром и другими врачами-специалистами).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Маршрутизация - врач-гериатр (при вероятной старческой астении).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Ответ ДА на вопрос шкалы «Возраст не помеха»: «Есть ли у Вас проблемы с  памятью,  пониманием, ориентацией или способностью планировать?»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Вероятные гериатрические синдромы: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когнитивное расстройство.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Причины: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хроническая ишемия головного мозга,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Болезнь Альцгеймера.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Что делать?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Целесообразно выполнение теста Мини-Ког: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Шаг 1. Проинструктируйте пациента: «Повторите три слова: лимон, ключ, шар». Слова  должны произноситься максимально четко и разборчиво, со скоростью 1 слово в секунду.  После того как пациент повторил все три слова, попросите его: «Запомните эти слова.  Повторите их еще один раз». Добиваемся того, чтобы пациент самостоятельно вспомнил все  три слова. При необходимости повторяем ему слова до 5 раз.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Шаг 2. Проинструктируйте пациента: «Нарисуйте, пожалуйста, круглые часы с цифрами на  циферблате и со стрелками. Все цифры должны стоять на своих местах, а стрелки должны  указывать на 13:45». Пациент должен самостоятельно нарисовать круг, расставить цифры,  изобразить стрелки. Подсказки не допускаются. Пациент не должен смотреть на реальные  часы у себя на руке или на стене. Вместо 13:45 можно попросить поставить стрелки на любое  другое время.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Шаг 3. Проинструктируйте пациента: «Теперь давайте вспомним три слова, которые мы  учили в начале». Если пациент самостоятельно не может вспомнить слова, можно  предложить подсказку. Например: «Вы запоминали еще какой-то фрукт… инструмент…  геометрическую фигуру» Ключ (интерпретация): пациент получает по одному баллу за каждое слово, повторенное  без подсказки (всего 0-3 балла). Результат теста рисования часов может составлять от 0 до 2  баллов: 1 балл – все цифры расставлены в правильном порядке и приблизительно на то место,  которое они занимают на циферблате; 1 балл – стрелки указывают правильное время; длина  стрелок (часовая, минутная) не оценивается. Неспособность или отказ нарисовать часы – 0 баллов. Таким образом, общий результат составляет от 0 до 5 баллов. Если набрано менее 3  баллов, это основание предположить деменцию. Результат менее 4 баллов свидетельствует о  необходимости более глубокого обследования когнитивных функций.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Маршрутизация: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при результате теста Мини-Ког менее 4 баллов: врач-невролог, врач-гериатр, врач-психиатр.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Анализ контроля факторов риска, наиболее значимых для состояния когнитивных  функций (АГ, дислипидемия, СД), коррекция терапии при необходимости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Ответ ДА на вопрос шкалы «Возраст не помеха»: «Страдаете ли Вы недержанием мочи?»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Вероятный гериатрический синдром: - нарушение мочеиспускания (недержание мочи).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Причины: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Ургентное недержание мочи,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Стрессовое недержание мочи,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недержание мочи при переполнении мочевого пузыря,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Смешанное недержание мочи,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Обструкция мочевыводящих путей (доброкачественная гиперплазия предстательной железы.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Что делать?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Дополнительный опрос для оценки типа нарушения мочеиспускания и маршрутизации пациента: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1. Бывает ли у Вас ощущение неполного опорожнения мочевого пузыря после мочеиспускания?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2. Имеется ли у Вас прерывистое мочеиспускание?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3. Бывает ли у Вас слабая струя мочи?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4. Бывает ли, что Вам приходится натуживаться, чтобы начать мочеиспускание?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5. Бывает ли у Вас потеря мочи при физическом напряжении?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6. Бывает ли у Вас потребность мочиться раньше, чем через 2 часа после последнего  мочеиспускания?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7. Бывает ли Вам трудно временно воздерживаться от мочеиспускания?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8. Встаете ли Вы с постели чаще одного раза, чтобы помочиться после того, как легли спать, до  момента, когда вам приходится вставать утром?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9. Имеет ли место постоянное недержание (упускание, подтекание) мочи между  мочеиспусканиями?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Маршрутизация: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Ответ «Да» на вопросы 1-4 указывает на возможную обструкцию мочевыводящих путей. - Ответ «Да» на вопросы 5 и 9 (признаки стрессового недержания мочи) — направить к врачу урологу (при ответе да на вопрос 5 для  женщин возможна консультация врача акушера-гинеколога).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Ответ «Да» на вопросы 6-8 — направить на ультразвуковое исследование с определением  объема остаточной мочи. При наличии остаточной мочи в объеме более 100 мл. – консультация врача-уролога. При наличии остаточной мочи в объеме менее 100 мл. – начать  лечение мирабегроном 50 мг 1 раз в сутки, консультация врача-уролога в плановом порядке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Ответ ДА на вопрос шкалы «Возраст не помеха»: «Были ли у Вас в течение последнего года  травмы, связанные с падением, или падения без травм?»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Гериатрический синдром:  Падения.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Причины: падения – многофакторный гериатрический синдром.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Факторы, участвующие в этиопатогенезе падений у пациентов пожилого и старческого  возраста и причины падений: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Биологические факторы (физиологические, возраст-ассоциированные изменения):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Зрение (снижение остроты зрения, особенно в вечернее время и ночью; пресбиопия; нарушения аккомодации; снижение способности различать цвета; снижение переносимости яркого света).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Слух (снижение восприятия звука различных частот на различном расстоянии; снижение способности различать голоса при разговоре; снижение восприятия тонов).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Центральная нервная система (снижение тактильной, вибрационной и температурной чувствительности, увеличение не стабильности при ходьбе и стоянии,  нарушение моторного ответа с замедлением реакции, вестибулярные нарушения, нарушения равновесия).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Костно-мышечная система (снижение мышечной силы , снижение объема движений в суставах).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Нервная система (деменция, инсульт и его последствия, транзиторная ишемическая атака, болезнь Паркинсона и паркинсонизм, делирий, синдром гиперчувствительности каротидного синуса, головокружения, вестибулярные нарушения, эпилепсия).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Сердечно-сосудистая система (инфаркт миокарда, ортостатическая гипотония, нарушения сердечного ритма, заболевания сердца, постпрандиальные синкопальные состояния).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Эндокринные нарушения и нарушения гомеостаза (гипогликемия, заболевания щитовидной железы, анемия, гипокальциемия, гипо- и гипернатриемия, дегидратация, гипервентиляция).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Пищеварительная система (диарея, желудочно-кишечные кровотечения).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Мочеполовая система (гипотония/синкопальные состояния, ассоциированные с никтурией), недержание мочи.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Костно-мышечная система (саркопения, дегенеративные изменения суставов, деформация позвоночника, остеопороз, низкоэнергетические переломы, миопатии).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Психоэмоциональные нарушения (депрессия, тревога, страх падений).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Ятрогенные (полипрагмазия).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Поведенческие факторы:  Вредные привычки и  поведение (избыточные потребления алкоголя, недостаточная физическая активность, курение, прием большого количества лекарств, в том числе безрецептурных препаратов).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Внешние факторы:  факторы  окружающей среды,  создающие условия  для падения (ступеньки и их недостаточная ширина, препятствия на пути человека — посторонние предметы, провода, пороги и т. д., скользкая поверхность пола, отсутствие поручней, недостаточное освещение в квартире или доме, неадекватная мебель (высокая кровать, неустойчивый стул), неудобная обувь).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Социальноэкономические  факторы (социальная изоляция, одинокое проживание, финансовые проблемы).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Что делать?   Оценивать риск падений на каждом визите пациента путем  получения ответа на следующие  вопросы (любой ответ «ДА» – высокий риск падений, необходим анализ причин):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1) Были ли у Вас в течение последнего года травмы, связанные с падением, или падения без травм после предыдущего визита?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2) Чувствуете ли Вы неустойчивость, когда встаете или идете?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3) Боитесь ли Вы падения?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Проанализировать возможные причины падений,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Оценить нарушение походки,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Оценить наличие и качество коррекции сенсорных дефицитов,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Оценить наличие ортостатической гипотонии,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Проанализировать лекарственные назначения с акцентом на риск падений (антихолинергическая нагрузка, гипотония, центральные эффекты лекарственных  препаратов). - Диагностика и лечение остеопороза: оценить анамнез переломов, осложняющих остеопороз, 10-летний риск переломов по алгоритму  FRAX (https://frax.shef.ac.uk/FRAX/tool.aspx?lang=rs), назначить антиостеопоротическую терапию  при наличии показаний.  -Дать пациенту общие и дифференцированные (в зависимости от выявленных факторов, ассоциированных с падениями) рекомендации по профилактике падений.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Маршрутизация:  врач-гериатр при наличии показаний (повторные падения в течение года, вероятная  старческая астения). Врачи-специалисты в зависимости от выявленных  потенциально устранимых факторов  риска падений.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ТАКТИКА ВЕДЕНИЯ ПАЦИЕНТОВ СО СТАРЧЕСКОЙ АСТЕНИЕЙ 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СОПУТСТВУЮЩИМИ ХРОНИЧЕСКИМИ НЕИНФЕКЦИОННЫМИ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ЗАБОЛЕВАНИЯМИ, А ТАКЖЕ ФАКТОРАМИ РИСКА ИХ РАЗВИТИЯ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Курение:</w:t>
      </w:r>
    </w:p>
    <w:p>
      <w:pPr>
        <w:pStyle w:val="Normal"/>
        <w:spacing w:before="52" w:after="52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Пожилые пациенты менее внимательны к доводам о вреде курения, склонны недооценивать  опасность курения, нередко негативно и пессимистически воспринимают собственное старение и  склонны к продолжению курения. Необходимо акцентировать внимание пациентов и их  родственников/лиц, осуществляющих уход, что продолжение курения ассоциировано с более  тяжелым течением возраст-ассоциированных заболеваний, таких как сахарный диабет, остеопороз,  болезни органов дыхания, в том числе пневмонии. Табакокурение может снижать эффективность  лекарственных препаратов, прием которых необходим многим пациентам пожилого возраста,  повышает риск падений.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Масса тела: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Низкая масса тела особого внимания у пожилых требует, поскольку значения индекса массы  тела (ИМТ) &lt;20   азиатской расы соответственно &lt;18.5 кг /м2 и &lt;20 кг /м2 ) являются фенотипическими признаками  синдрома недостаточности питания (мальнутриции). При ИМТ &lt;18,5 кг/м2 требуется вмешательство лечащего врача по выяснению причин  снижения массы тела и коррекции пищевого поведения, направление пациента на консультацию к  врачу-диетологу, врачу-гериатру, врачу-онкологу. При снижении веса на 5 кг (для лиц с исходной массой тела 70 кг и выше) или на 5% от  исходного веса (для лиц с массой тела ниже 70 кг) за последние 3 месяца, необходимо проведение  обследования для уточнения причины снижения массы тела и исключения развития саркопении,  недостаточности питания, онкологических заболеваний.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Избыточная масса тела и ожирение:  Снижение массы тела показано всем пациентам, имеющим ожирение, а также пациентам с  избыточной массой тела и наличием одного и более факторов риска ССЗ или с наличием  сопутствующих заболеваний, течение которых ассоциировано с ожирением. Следует акцентировать внимание пациента на недопустимости самостоятельного выбора  «особых» диет. У пациентов до 75 лет без гериатрических синдромов при ИМТ 25-30 кг/м2 и отсутствии  сопутствующих ХНИЗ (АГ, СД и др.) рекомендуется немедикаментозная коррекция массы тела. При наличии сопутствующих ХНИЗ и/или ИМТ более 27 кг/м2 немедикаментозные методы необходимо сочетать с назначением медикаментозной терапии, направленной на снижение массы  тела. Лечение избыточной массы тела и ожирения осуществляется в соответствии с клиническими  рекомендациями «Ожирение» . Немедикаментозная терапия(изменение образа жизни посредством коррекции питания и  расширения объема физических нагрузок) является основой лечения ожирения и  рекомендуется как первый, обязательный и постоянный этап лечения ожирения. Всем пациентам страдающим ожирением,  с целью снижения массы тела рекомендуется  гипокалорийная диета (дефицит 500-700 ккал от физиологической потребности с учетом  массы тела, возраста и пола), сбалансированная по пищевым ингредиентам; на этапе  поддержания достигнутой массы тела – сбалансированная по пищевым ингредиентам  эукалорийная диета. Физическая активность рекомендуется как  неотъемлемая часть лечения ожирения и  поддержания достигнутой в процессе лечения массы тела. Всем лицам с избыточной  массой тела и ожирением показаны регулярные аэробные физические упражнения  продолжительностью не менее 150 минут в неделю; назначение немедикаментозной терапии ожирения рекомендовано при ИМТ ≥30 кг/м2 или  при ИМТ ≥27 кг/м2 при наличии факторов риска и/или коморбидных заболеваний; оценку эффективностилекарственной терапии ожирения рекомендуется проводить  спустя 3 месяца после начала лечения. Неэффективным может считаться снижение массы  тела менее чем на 5% от исходной в течение 3 месяцев. У пациентов старческого возраста (75 лет и старше) или с гериатрическими  синдромами, особенно при подозрении на наличие синдрома старческой астении, с  избыточной массой телом и ожирением необходимо следовать КР «Старческая астения». Не рекомендуется снижение при ИМТ  25-35,9 кг/м2 в виду увеличения риска развития  гериатрических синдромов и неблагоприятных исходов; в отличие от людей среднего возраста у пожилых людей повышение ИМТ до 25-29,9  кг/м² по сравнению с его нормальными значениями ассоциировано со снижением, а не  повышением риска смерти; избыточная масса тела ассоциирована с  большей минеральной плотностью кости,  меньшим риском остеопороза и перелома бедренной кости, в то время как снижение  массы тела ассоциировано со снижением костной массы; у лиц  старческого возраста любая потеря веса (намеренная или нет) может иметь  потенциально опасные последствия в виде развития и/или прогрессирования саркопении,  мальнутриции, потери костной массы и повышения смертности; если преимущества стратегии снижения массы тела очевидны, наиболее приемлемый  терапевтический подход состоит в умеренном ограничении энергетической ценности  рациона, ориентированном на умеренное снижение веса;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Артериальная гипертензия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Лечение АГ осуществляется в соответствии с клиническими рекомендациями  «Артериальная гипертензия у взрослых» с учетом наличия СА. Рекомендуется  начать антигипертензивную терапию у пациентов с АГ в возрасте до 79 лет при уровне САД ≥140 и/или ДАД ≥90 мм рт.ст.;  Рекомендуется начать антигипертензивную терапию у пациентов с АГ в возрасте ≥80  лет при уровне САД ≥160 мм рт.ст. Можно рассмотреть более низкие значения САД (140-159 мм рт.ст.) для инициации антигипертензивной терапии. У пациентов с синдромом старческой астении при определении  показаний для начала антигипертензивной терапии на основании САД и ДАД целесообразен  индивидуальный подход. У пациентов ≥80 лет не рекомендуется отменять антигипертензивную лекарственную  терапию, при условии, что эта терапия хорошо переносится, не сопровождается ортостатической  гипотонией, развитием/усугублением гериатрических синдромов и снижением  функционального статуса в связи с доказанными преимуществами в отношении сердечнососудистой смертности.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Целевые уровни АД: 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всем пациентам с АГ, получающим лечение, независимо от возраста и степени риска,  рекомендуется в качестве первого целевого уровня снижать АД до значений &lt;140/90  мм рт. ст., а при условии хорошей переносимости — до целевого уровня 130/80 мм рт.  ст. или ниже, в связи с доказанными преимуществами в плане снижения риска  сердечно-сосудистых осложнений;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пациентам в возрасте 65-79 лет без старческой астении, получающим антигипертензивную терапию, вне зависимости от уровня сердечно-сосудистого риска  и наличия сердечно-сосудистых заболеваний рекомендуется снижать САД первично  до целевых значений &lt;140 мм рт. ст., а при условии хорошей переносимости до &lt;130  мм рт.ст.;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пациентам в возрасте 65-79 лет с изолированной систолической артериальной  гипертензией, рекомендуется снижать САД первично до целевых значений 140-150  мм рт. ст., а при условии хорошей переносимости до 130-139 мм рт.ст., но с  осторожностью, если исходное ДАД &lt;70 мм рт.ст. - пациентам в возрасте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&gt; </w:t>
      </w:r>
      <w:r>
        <w:rPr>
          <w:rFonts w:cs="Times New Roman" w:ascii="Times New Roman" w:hAnsi="Times New Roman"/>
          <w:sz w:val="24"/>
          <w:szCs w:val="24"/>
          <w:lang w:val="ru-RU"/>
        </w:rPr>
        <w:t>80 лет с изолированной систолической артериальной  гипертензией, рекомендуется снижать САД первично до целевых значений 140-150 мм рт. ст., а при условии хорошей переносимости до 130-139 мм рт.ст., но с осторожностью, если исходное ДАД &lt;70 мм рт.ст. У большинства пациентов с синдромом старческой астении, а также у пациентов старше  80 лет рекомендована инициация антигипертензивной терапии с монотерапии.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В целом у  пациентов с синдромом старческой астении рекомендован индивидуальный подход. Не рекомендуется снижать САД менее 120 мм рт.ст. Целевое АД у пожилых пациентов с умеренной/тяжелой старческой астенией определяется  индивидуально врачом-гериатром на основании комплексной гериатрической оценки. При проведении антигипертензивной терапии обязателен контроль ортостатического  изменения АД. Ортостатической гипотонией считается снижение систолического АД на 20 мм  рт.ст. и более и/или диастолического АД на 10 мм рт.ст. и более при переходе в вертикальное  положение через 1-2 минуты. Особого внимания требует симптомная ортостатическая гипотония.  У пациентов с высоким исходным уровнем АД в положении лежа или сидя и бессимптомным  ортостатическим снижением АД как правило целесообразно усиление антигипертензивной терапии  с целью достижения целевого АД (с учетом переносимости). Достижение целевого АД уменьшает  выраженность ортостатической реакции АД.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Дислипидемия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 целью вторичной профилактики сердечно-сосудистых заболеваний всем пациентам показано назначение гиполипидемической терапии с достижением целевых уровней ХС-ЛНП.  У пациентов пожилого и старческого возраста возможно использование комбинированной  терапии статином и эзетимиба. Не рекомендуется начало гиполипидемической терапии с целью первичной профилактики сердечно-сосудистых событий пациентам старше 75 лет. Однако, если пациент уже принимает гиполипидемическую терапию и хорошо ее переносит, прием следует продолжить.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Гипергликемия/сахарный диабет</w:t>
      </w:r>
    </w:p>
    <w:p>
      <w:pPr>
        <w:pStyle w:val="Normal"/>
        <w:spacing w:before="0" w:after="0"/>
        <w:jc w:val="left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Рекомендуемый целевой уровень у функционально независимых пациентов HbA1c &lt;7,5%  при отсутствии атеросклеротических сердечно-сосудистых заболеваний и/или риска тяжелой  гипогликемии. При наличии атеросклеротических сердечно-сосудистых заболеваний и/или риске тяжелой  гипогликемии целевой уровень HbA1c &lt;8,0%.  При наличии старческой астении и деменции целевой уровень HbA1c &lt;8,5%. Для лечения СД 2 типа у пациентов пожилого и старческого возраста могут быть  использованы метформин, ингибиторы дипептидилпептидазы-4 (DDP-4) (алоглиптин,  вилдаглиптин, линаглиптин, саксаглиптин, ситаглиптин) или аналоги глюкагоноподобного  пептида-1 (GLP-1) (инсулин гларгин + ликсисенатид) как наиболее безопасные в отношении  развития гипогликемии. Производные сульфонилмочевины следует назначать с осторожностью изза увеличения риска гипогликемии по мере старения. Глибенкламид не рекомендован пациентам  старше 60 лет. Ингибиторы натрийзависимого переносчика глюкозы 2-го типа (эмпаглифлозин,  дапаглифлозин) применяются с осторожностью, их не следует применять с диуретиками вследствие  опасности развития гиповолемии и ортостатической гипотонии. Лечение проводится в соответствии  с рекомендациями врача-эндокринолога</w:t>
      </w:r>
    </w:p>
    <w:p>
      <w:pPr>
        <w:pStyle w:val="Normal"/>
        <w:spacing w:before="280" w:after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Лист ознакомления:</w:t>
      </w:r>
    </w:p>
    <w:tbl>
      <w:tblPr>
        <w:tblW w:w="933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57"/>
        <w:gridCol w:w="1878"/>
        <w:gridCol w:w="4392"/>
        <w:gridCol w:w="2102"/>
      </w:tblGrid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8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должность</w:t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ФИО</w:t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подпись</w:t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  <w:tr>
        <w:trPr/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numPr>
                <w:ilvl w:val="0"/>
                <w:numId w:val="2"/>
              </w:numPr>
              <w:spacing w:before="280" w:after="200"/>
              <w:rPr/>
            </w:pPr>
            <w:r>
              <w:rPr/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Style22"/>
              <w:spacing w:before="280" w:after="200"/>
              <w:rPr/>
            </w:pPr>
            <w:r>
              <w:rPr/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1df3"/>
    <w:pPr>
      <w:widowControl/>
      <w:suppressAutoHyphens w:val="false"/>
      <w:bidi w:val="0"/>
      <w:spacing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c129f"/>
    <w:rPr>
      <w:rFonts w:ascii="Segoe UI" w:hAnsi="Segoe UI" w:cs="Segoe UI"/>
      <w:sz w:val="18"/>
      <w:szCs w:val="18"/>
      <w:lang w:val="en-US"/>
    </w:rPr>
  </w:style>
  <w:style w:type="character" w:styleId="Style15" w:customStyle="1">
    <w:name w:val="Маркеры"/>
    <w:qFormat/>
    <w:rsid w:val="007c45dd"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sid w:val="007c45dd"/>
    <w:rPr/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ascii="Times New Roman" w:hAnsi="Times New Roman" w:cs="Symbol"/>
      <w:sz w:val="22"/>
    </w:rPr>
  </w:style>
  <w:style w:type="character" w:styleId="ListLabel4">
    <w:name w:val="ListLabel 4"/>
    <w:qFormat/>
    <w:rPr>
      <w:rFonts w:cs="OpenSymbol"/>
    </w:rPr>
  </w:style>
  <w:style w:type="paragraph" w:styleId="Style17" w:customStyle="1">
    <w:name w:val="Заголовок"/>
    <w:basedOn w:val="Normal"/>
    <w:next w:val="Style18"/>
    <w:qFormat/>
    <w:rsid w:val="007c45dd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Основной текст"/>
    <w:basedOn w:val="Normal"/>
    <w:rsid w:val="007c45dd"/>
    <w:pPr>
      <w:spacing w:lineRule="auto" w:line="276" w:before="280" w:after="140"/>
    </w:pPr>
    <w:rPr/>
  </w:style>
  <w:style w:type="paragraph" w:styleId="Style19">
    <w:name w:val="Список"/>
    <w:basedOn w:val="Style18"/>
    <w:rsid w:val="007c45dd"/>
    <w:pPr/>
    <w:rPr>
      <w:rFonts w:cs="Ari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7c45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7c45dd"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3c129f"/>
    <w:pPr/>
    <w:rPr>
      <w:rFonts w:ascii="Segoe UI" w:hAnsi="Segoe UI" w:cs="Segoe UI"/>
      <w:sz w:val="18"/>
      <w:szCs w:val="18"/>
    </w:rPr>
  </w:style>
  <w:style w:type="paragraph" w:styleId="Style22" w:customStyle="1">
    <w:name w:val="Содержимое таблицы"/>
    <w:basedOn w:val="Normal"/>
    <w:qFormat/>
    <w:rsid w:val="007c45dd"/>
    <w:pPr>
      <w:widowControl w:val="false"/>
      <w:suppressLineNumbers/>
    </w:pPr>
    <w:rPr/>
  </w:style>
  <w:style w:type="paragraph" w:styleId="ListParagraph">
    <w:name w:val="List Paragraph"/>
    <w:basedOn w:val="Normal"/>
    <w:uiPriority w:val="34"/>
    <w:qFormat/>
    <w:rsid w:val="000b4af6"/>
    <w:pPr>
      <w:spacing w:before="280" w:after="28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3089b"/>
    <w:pPr>
      <w:suppressAutoHyphens w:val="false"/>
      <w:spacing w:before="100" w:after="10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b1d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LibreOffice/5.0.3.2$Windows_X86_64 LibreOffice_project/e5f16313668ac592c1bfb310f4390624e3dbfb75</Application>
  <Paragraphs>195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2025-06-19T16:51:00Z</dcterms:created>
  <dc:creator>KrasnoperovaAV</dc:creator>
  <dc:language>ru-RU</dc:language>
  <cp:lastPrinted>2025-06-20T12:51:39Z</cp:lastPrinted>
  <dcterms:modified xsi:type="dcterms:W3CDTF">2025-06-20T12:51:54Z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